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B71" w:rsidRDefault="00387B71" w:rsidP="00387B71">
      <w:pPr>
        <w:pStyle w:val="2"/>
        <w:ind w:firstLine="426"/>
        <w:jc w:val="center"/>
        <w:rPr>
          <w:b/>
          <w:sz w:val="24"/>
        </w:rPr>
      </w:pPr>
      <w:r>
        <w:rPr>
          <w:b/>
          <w:sz w:val="24"/>
        </w:rPr>
        <w:t>4.8.4. Доверительные интервалы при статистической оценке параметров надёжности</w:t>
      </w:r>
    </w:p>
    <w:p w:rsidR="00387B71" w:rsidRDefault="00387B71" w:rsidP="00387B71"/>
    <w:p w:rsidR="00387B71" w:rsidRDefault="00387B71" w:rsidP="00387B71">
      <w:pPr>
        <w:pStyle w:val="a3"/>
        <w:ind w:left="0" w:firstLine="851"/>
        <w:rPr>
          <w:sz w:val="24"/>
        </w:rPr>
      </w:pPr>
      <w:r>
        <w:rPr>
          <w:sz w:val="24"/>
        </w:rPr>
        <w:t xml:space="preserve">Статистическая оценка параметров надёжности тем ближе к </w:t>
      </w:r>
      <w:proofErr w:type="gramStart"/>
      <w:r>
        <w:rPr>
          <w:sz w:val="24"/>
        </w:rPr>
        <w:t>истине</w:t>
      </w:r>
      <w:proofErr w:type="gramEnd"/>
      <w:r>
        <w:rPr>
          <w:sz w:val="24"/>
        </w:rPr>
        <w:t xml:space="preserve"> чем больше объём выборки. Только бесконечно большая выборка может дать 100% уверенность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оценка параметра совпадает с истинной. Понятия ”коэффициент доверия“, ”доверительная вероятност</w:t>
      </w:r>
      <w:proofErr w:type="gramStart"/>
      <w:r>
        <w:rPr>
          <w:sz w:val="24"/>
        </w:rPr>
        <w:t>ь-</w:t>
      </w:r>
      <w:proofErr w:type="gramEnd"/>
      <w:r>
        <w:rPr>
          <w:sz w:val="24"/>
        </w:rPr>
        <w:t xml:space="preserve"> обозначают вероятность , связывающую истинное значение параметра и его оценку. Когда оценка получена для большой выборки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истинное значение – справа от неё или слева. Поэтому лучше выражать статистическую оценку с помощью интервала с указанием вероятности (коэффициент доверия)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истинное значение – внутри его. При анализе статистических данных основные понятия </w:t>
      </w:r>
      <w:proofErr w:type="gramStart"/>
      <w:r>
        <w:rPr>
          <w:sz w:val="24"/>
        </w:rPr>
        <w:t>–“</w:t>
      </w:r>
      <w:proofErr w:type="gramEnd"/>
      <w:r>
        <w:rPr>
          <w:sz w:val="24"/>
        </w:rPr>
        <w:t>доверительный уровень” и “ коэффициент доверия”. Эти истинные данные часто представляют не “ точечными” оценками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а с помощью интервала с заданной </w:t>
      </w:r>
      <w:r>
        <w:rPr>
          <w:sz w:val="24"/>
          <w:u w:val="single"/>
        </w:rPr>
        <w:t>доверительной вероятностью</w:t>
      </w:r>
      <w:r>
        <w:rPr>
          <w:sz w:val="24"/>
        </w:rPr>
        <w:t xml:space="preserve"> или коэффициент доверия “</w:t>
      </w:r>
      <w:r>
        <w:rPr>
          <w:position w:val="-6"/>
          <w:sz w:val="24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 fillcolor="window">
            <v:imagedata r:id="rId6" o:title=""/>
          </v:shape>
          <o:OLEObject Type="Embed" ProgID="Equation.3" ShapeID="_x0000_i1025" DrawAspect="Content" ObjectID="_1577011247" r:id="rId7"/>
        </w:object>
      </w:r>
      <w:r>
        <w:rPr>
          <w:sz w:val="24"/>
        </w:rPr>
        <w:t xml:space="preserve">”.Последний , выражает вероятность того , что истинное значение величины – внутри интервала. Границы интервала – доверительные границы. </w:t>
      </w:r>
      <w:r>
        <w:rPr>
          <w:sz w:val="24"/>
          <w:u w:val="single"/>
        </w:rPr>
        <w:t xml:space="preserve">Уровень значимости </w:t>
      </w:r>
      <w:r>
        <w:rPr>
          <w:sz w:val="24"/>
        </w:rPr>
        <w:t>– вероятность того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значение искомой величины выйдет из границ интервала:</w:t>
      </w:r>
      <w:r>
        <w:rPr>
          <w:position w:val="-10"/>
          <w:sz w:val="24"/>
        </w:rPr>
        <w:object w:dxaOrig="240" w:dyaOrig="320">
          <v:shape id="_x0000_i1026" type="#_x0000_t75" style="width:12pt;height:15.75pt" o:ole="" fillcolor="window">
            <v:imagedata r:id="rId8" o:title=""/>
          </v:shape>
          <o:OLEObject Type="Embed" ProgID="Equation.3" ShapeID="_x0000_i1026" DrawAspect="Content" ObjectID="_1577011248" r:id="rId9"/>
        </w:object>
      </w:r>
      <w:r>
        <w:rPr>
          <w:sz w:val="24"/>
        </w:rPr>
        <w:t>=1-</w:t>
      </w:r>
      <w:r>
        <w:rPr>
          <w:position w:val="-6"/>
          <w:sz w:val="24"/>
        </w:rPr>
        <w:object w:dxaOrig="220" w:dyaOrig="220">
          <v:shape id="_x0000_i1027" type="#_x0000_t75" style="width:11.25pt;height:11.25pt" o:ole="" fillcolor="window">
            <v:imagedata r:id="rId6" o:title=""/>
          </v:shape>
          <o:OLEObject Type="Embed" ProgID="Equation.3" ShapeID="_x0000_i1027" DrawAspect="Content" ObjectID="_1577011249" r:id="rId10"/>
        </w:object>
      </w:r>
      <w:r>
        <w:rPr>
          <w:sz w:val="24"/>
        </w:rPr>
        <w:t xml:space="preserve">; Часто </w:t>
      </w:r>
      <w:r>
        <w:rPr>
          <w:position w:val="-6"/>
          <w:sz w:val="24"/>
        </w:rPr>
        <w:object w:dxaOrig="220" w:dyaOrig="220">
          <v:shape id="_x0000_i1028" type="#_x0000_t75" style="width:11.25pt;height:11.25pt" o:ole="" fillcolor="window">
            <v:imagedata r:id="rId6" o:title=""/>
          </v:shape>
          <o:OLEObject Type="Embed" ProgID="Equation.3" ShapeID="_x0000_i1028" DrawAspect="Content" ObjectID="_1577011250" r:id="rId11"/>
        </w:object>
      </w:r>
      <w:r>
        <w:rPr>
          <w:sz w:val="24"/>
        </w:rPr>
        <w:t xml:space="preserve">=0.9; 0.95; 0.99 и </w:t>
      </w:r>
      <w:r>
        <w:rPr>
          <w:position w:val="-10"/>
          <w:sz w:val="24"/>
        </w:rPr>
        <w:object w:dxaOrig="240" w:dyaOrig="320">
          <v:shape id="_x0000_i1029" type="#_x0000_t75" style="width:12pt;height:15.75pt" o:ole="" fillcolor="window">
            <v:imagedata r:id="rId8" o:title=""/>
          </v:shape>
          <o:OLEObject Type="Embed" ProgID="Equation.3" ShapeID="_x0000_i1029" DrawAspect="Content" ObjectID="_1577011251" r:id="rId12"/>
        </w:object>
      </w:r>
      <w:r>
        <w:rPr>
          <w:sz w:val="24"/>
        </w:rPr>
        <w:t>=0.1;0.05; 0.01.</w:t>
      </w:r>
    </w:p>
    <w:p w:rsidR="00387B71" w:rsidRDefault="00387B71" w:rsidP="00387B71">
      <w:pPr>
        <w:pStyle w:val="a3"/>
        <w:ind w:left="0" w:firstLine="851"/>
        <w:rPr>
          <w:sz w:val="24"/>
        </w:rPr>
      </w:pPr>
      <w:r>
        <w:rPr>
          <w:sz w:val="24"/>
        </w:rPr>
        <w:t>Коэффициент “</w:t>
      </w:r>
      <w:r>
        <w:rPr>
          <w:position w:val="-6"/>
          <w:sz w:val="24"/>
        </w:rPr>
        <w:object w:dxaOrig="220" w:dyaOrig="220">
          <v:shape id="_x0000_i1030" type="#_x0000_t75" style="width:11.25pt;height:11.25pt" o:ole="" fillcolor="window">
            <v:imagedata r:id="rId6" o:title=""/>
          </v:shape>
          <o:OLEObject Type="Embed" ProgID="Equation.3" ShapeID="_x0000_i1030" DrawAspect="Content" ObjectID="_1577011252" r:id="rId13"/>
        </w:object>
      </w:r>
      <w:r>
        <w:rPr>
          <w:sz w:val="24"/>
        </w:rPr>
        <w:t xml:space="preserve">” характеризует степень </w:t>
      </w:r>
      <w:proofErr w:type="gramStart"/>
      <w:r>
        <w:rPr>
          <w:sz w:val="24"/>
        </w:rPr>
        <w:t>достоверности результатов двухсторонней оценки параметра надёжности</w:t>
      </w:r>
      <w:proofErr w:type="gramEnd"/>
      <w:r>
        <w:rPr>
          <w:sz w:val="24"/>
        </w:rPr>
        <w:t>. Доверительные интервалы статических оценок параметров надёжности имеют нижнюю и верхнюю границы.</w:t>
      </w:r>
    </w:p>
    <w:p w:rsidR="00387B71" w:rsidRDefault="00387B71" w:rsidP="00387B71">
      <w:pPr>
        <w:pStyle w:val="a3"/>
        <w:ind w:left="0" w:firstLine="851"/>
        <w:rPr>
          <w:sz w:val="24"/>
        </w:rPr>
      </w:pPr>
      <w:r>
        <w:rPr>
          <w:sz w:val="24"/>
        </w:rPr>
        <w:t>Пример:</w:t>
      </w:r>
    </w:p>
    <w:p w:rsidR="00387B71" w:rsidRDefault="00387B71" w:rsidP="00387B71">
      <w:pPr>
        <w:pStyle w:val="a3"/>
        <w:ind w:left="0" w:firstLine="851"/>
        <w:rPr>
          <w:sz w:val="24"/>
        </w:rPr>
      </w:pPr>
      <w:proofErr w:type="spellStart"/>
      <w:proofErr w:type="gramStart"/>
      <w:r>
        <w:rPr>
          <w:sz w:val="24"/>
        </w:rPr>
        <w:t>T</w:t>
      </w:r>
      <w:proofErr w:type="gramEnd"/>
      <w:r>
        <w:rPr>
          <w:sz w:val="24"/>
          <w:vertAlign w:val="subscript"/>
        </w:rPr>
        <w:t>ср</w:t>
      </w:r>
      <w:proofErr w:type="spellEnd"/>
      <w:r>
        <w:rPr>
          <w:sz w:val="24"/>
        </w:rPr>
        <w:t>, T</w:t>
      </w:r>
      <w:r>
        <w:rPr>
          <w:sz w:val="24"/>
          <w:vertAlign w:val="superscript"/>
        </w:rPr>
        <w:t>*</w:t>
      </w:r>
      <w:r>
        <w:rPr>
          <w:sz w:val="24"/>
          <w:vertAlign w:val="subscript"/>
        </w:rPr>
        <w:t>ср</w:t>
      </w:r>
      <w:r>
        <w:rPr>
          <w:sz w:val="24"/>
        </w:rPr>
        <w:t>, - среднее время безотказной работы:</w:t>
      </w:r>
    </w:p>
    <w:p w:rsidR="00387B71" w:rsidRDefault="00387B71" w:rsidP="00387B71">
      <w:pPr>
        <w:pStyle w:val="a3"/>
        <w:ind w:left="0" w:firstLine="851"/>
        <w:rPr>
          <w:sz w:val="24"/>
        </w:rPr>
      </w:pPr>
      <w:r>
        <w:rPr>
          <w:sz w:val="24"/>
        </w:rPr>
        <w:t>T</w:t>
      </w:r>
      <w:r>
        <w:rPr>
          <w:sz w:val="24"/>
          <w:vertAlign w:val="superscript"/>
        </w:rPr>
        <w:t>*</w:t>
      </w:r>
      <w:r>
        <w:rPr>
          <w:sz w:val="24"/>
          <w:vertAlign w:val="subscript"/>
        </w:rPr>
        <w:t>ср н</w:t>
      </w:r>
      <w:r>
        <w:rPr>
          <w:sz w:val="24"/>
        </w:rPr>
        <w:t xml:space="preserve"> и T</w:t>
      </w:r>
      <w:r>
        <w:rPr>
          <w:sz w:val="24"/>
          <w:vertAlign w:val="superscript"/>
        </w:rPr>
        <w:t>*</w:t>
      </w:r>
      <w:r>
        <w:rPr>
          <w:sz w:val="24"/>
          <w:vertAlign w:val="subscript"/>
        </w:rPr>
        <w:t>ср в</w:t>
      </w:r>
      <w:r>
        <w:rPr>
          <w:sz w:val="24"/>
          <w:vertAlign w:val="superscript"/>
        </w:rPr>
        <w:t xml:space="preserve"> </w:t>
      </w:r>
      <w:proofErr w:type="gramStart"/>
      <w:r>
        <w:rPr>
          <w:sz w:val="24"/>
        </w:rPr>
        <w:t>-н</w:t>
      </w:r>
      <w:proofErr w:type="gramEnd"/>
      <w:r>
        <w:rPr>
          <w:sz w:val="24"/>
        </w:rPr>
        <w:t>ижняя и верхняя границы доверительного интервала;</w:t>
      </w:r>
    </w:p>
    <w:p w:rsidR="00387B71" w:rsidRDefault="00387B71" w:rsidP="00387B71">
      <w:pPr>
        <w:pStyle w:val="a3"/>
        <w:ind w:left="0" w:firstLine="851"/>
        <w:rPr>
          <w:sz w:val="24"/>
        </w:rPr>
      </w:pPr>
      <w:r>
        <w:rPr>
          <w:sz w:val="24"/>
        </w:rPr>
        <w:t>Величина T</w:t>
      </w:r>
      <w:r>
        <w:rPr>
          <w:sz w:val="24"/>
          <w:vertAlign w:val="superscript"/>
        </w:rPr>
        <w:t>*</w:t>
      </w:r>
      <w:r>
        <w:rPr>
          <w:sz w:val="24"/>
          <w:vertAlign w:val="subscript"/>
        </w:rPr>
        <w:t>с</w:t>
      </w:r>
      <w:proofErr w:type="gramStart"/>
      <w:r>
        <w:rPr>
          <w:sz w:val="24"/>
          <w:vertAlign w:val="subscript"/>
        </w:rPr>
        <w:t>р</w:t>
      </w:r>
      <w:r>
        <w:rPr>
          <w:sz w:val="24"/>
        </w:rPr>
        <w:t>-</w:t>
      </w:r>
      <w:proofErr w:type="gramEnd"/>
      <w:r>
        <w:rPr>
          <w:sz w:val="24"/>
        </w:rPr>
        <w:t xml:space="preserve"> находится между этими пределами.</w:t>
      </w:r>
    </w:p>
    <w:p w:rsidR="00387B71" w:rsidRDefault="00387B71" w:rsidP="00387B71">
      <w:pPr>
        <w:pStyle w:val="a3"/>
        <w:ind w:left="0" w:firstLine="851"/>
        <w:rPr>
          <w:sz w:val="24"/>
        </w:rPr>
      </w:pPr>
      <w:r>
        <w:rPr>
          <w:sz w:val="24"/>
        </w:rPr>
        <w:t xml:space="preserve">Пример. Вычислены доверительные границы для вероятности безотказной работы 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(t) элемента ЭС порядка 0.9.Это значит 90% случаев истинное значение надёжности – в этих пределах , а в 10% -вне этих границ.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pStyle w:val="3"/>
      </w:pPr>
      <w:r>
        <w:br w:type="page"/>
      </w:r>
      <w:r>
        <w:lastRenderedPageBreak/>
        <w:t>4.9. Статические показатели надёжности совокупности воздушных линий.</w:t>
      </w:r>
    </w:p>
    <w:p w:rsidR="00387B71" w:rsidRDefault="00387B71" w:rsidP="00387B71">
      <w:pPr>
        <w:ind w:firstLine="851"/>
        <w:jc w:val="both"/>
        <w:rPr>
          <w:b/>
          <w:sz w:val="24"/>
        </w:rPr>
      </w:pP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Важнейшим показателем надёжности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– параметр потока отказов , отказ/100 км год.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left="589" w:firstLine="851"/>
        <w:jc w:val="both"/>
        <w:rPr>
          <w:sz w:val="24"/>
        </w:rPr>
      </w:pPr>
      <w:r>
        <w:rPr>
          <w:position w:val="-30"/>
          <w:sz w:val="24"/>
        </w:rPr>
        <w:object w:dxaOrig="1120" w:dyaOrig="680">
          <v:shape id="_x0000_i1031" type="#_x0000_t75" style="width:80.25pt;height:48.75pt" o:ole="" fillcolor="window">
            <v:imagedata r:id="rId14" o:title=""/>
          </v:shape>
          <o:OLEObject Type="Embed" ProgID="Equation.3" ShapeID="_x0000_i1031" DrawAspect="Content" ObjectID="_1577011253" r:id="rId15"/>
        </w:object>
      </w:r>
      <w:r>
        <w:rPr>
          <w:sz w:val="24"/>
        </w:rPr>
        <w:t>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(4.86)</w:t>
      </w:r>
    </w:p>
    <w:p w:rsidR="00387B71" w:rsidRDefault="00387B71" w:rsidP="00387B71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– число отказов i –ой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L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– длина линии, </w:t>
      </w:r>
      <w:proofErr w:type="gramStart"/>
      <w:r>
        <w:rPr>
          <w:sz w:val="24"/>
        </w:rPr>
        <w:t>км</w:t>
      </w:r>
      <w:proofErr w:type="gramEnd"/>
      <w:r>
        <w:rPr>
          <w:sz w:val="24"/>
        </w:rPr>
        <w:t>;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Г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– период эксплуатации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, лет.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Параметр потока отказов (среднее значение</w:t>
      </w:r>
      <w:proofErr w:type="gramStart"/>
      <w:r>
        <w:rPr>
          <w:sz w:val="24"/>
        </w:rPr>
        <w:t>)В</w:t>
      </w:r>
      <w:proofErr w:type="gramEnd"/>
      <w:r>
        <w:rPr>
          <w:sz w:val="24"/>
        </w:rPr>
        <w:t>Л данного типа определяется на основе оценок параметра “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i</w:t>
      </w:r>
      <w:r>
        <w:rPr>
          <w:sz w:val="24"/>
        </w:rPr>
        <w:t>” ВЛ , входящих в совокупность: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position w:val="-10"/>
          <w:sz w:val="24"/>
        </w:rPr>
        <w:object w:dxaOrig="180" w:dyaOrig="340">
          <v:shape id="_x0000_i1032" type="#_x0000_t75" style="width:9pt;height:17.25pt" o:ole="" fillcolor="window">
            <v:imagedata r:id="rId16" o:title=""/>
          </v:shape>
          <o:OLEObject Type="Embed" ProgID="Equation.3" ShapeID="_x0000_i1032" DrawAspect="Content" ObjectID="_1577011254" r:id="rId17"/>
        </w:object>
      </w:r>
      <w:r>
        <w:rPr>
          <w:position w:val="-60"/>
          <w:sz w:val="24"/>
        </w:rPr>
        <w:object w:dxaOrig="1579" w:dyaOrig="1320">
          <v:shape id="_x0000_i1033" type="#_x0000_t75" style="width:110.25pt;height:91.5pt" o:ole="" fillcolor="window">
            <v:imagedata r:id="rId18" o:title=""/>
          </v:shape>
          <o:OLEObject Type="Embed" ProgID="Equation.3" ShapeID="_x0000_i1033" DrawAspect="Content" ObjectID="_1577011255" r:id="rId1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(4.87)</w:t>
      </w:r>
    </w:p>
    <w:p w:rsidR="00387B71" w:rsidRDefault="00387B71" w:rsidP="00387B71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в – число отключаемых линий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входящих в совокупность ВЛ данного вида.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Для ориентировочных расчётов надёжности в выборку </w:t>
      </w:r>
      <w:proofErr w:type="spellStart"/>
      <w:r>
        <w:rPr>
          <w:sz w:val="24"/>
        </w:rPr>
        <w:t>м.б</w:t>
      </w:r>
      <w:proofErr w:type="spellEnd"/>
      <w:r>
        <w:rPr>
          <w:sz w:val="24"/>
        </w:rPr>
        <w:t xml:space="preserve">. объединены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одного напряжения любого материала и типа опор.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>4.10. Обработка исходных статических данных воздушных линий по разнородной информации.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Цель: определение комплексной величины надёжности.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Сбор и предварительную обработку информации от отказа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по располагаемым “K” источникам сводим в систему данных.</w:t>
      </w:r>
    </w:p>
    <w:p w:rsidR="00387B71" w:rsidRDefault="00387B71" w:rsidP="00387B71">
      <w:pPr>
        <w:jc w:val="both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1"/>
        <w:gridCol w:w="1781"/>
        <w:gridCol w:w="1781"/>
        <w:gridCol w:w="1781"/>
        <w:gridCol w:w="1781"/>
      </w:tblGrid>
      <w:tr w:rsidR="00387B71" w:rsidTr="00C12106">
        <w:tblPrEx>
          <w:tblCellMar>
            <w:top w:w="0" w:type="dxa"/>
            <w:bottom w:w="0" w:type="dxa"/>
          </w:tblCellMar>
        </w:tblPrEx>
        <w:trPr>
          <w:trHeight w:val="982"/>
        </w:trPr>
        <w:tc>
          <w:tcPr>
            <w:tcW w:w="178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N источника информации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число </w:t>
            </w:r>
            <w:proofErr w:type="gramStart"/>
            <w:r>
              <w:rPr>
                <w:sz w:val="24"/>
              </w:rPr>
              <w:t>ВЛ</w:t>
            </w:r>
            <w:proofErr w:type="gramEnd"/>
          </w:p>
        </w:tc>
        <w:tc>
          <w:tcPr>
            <w:tcW w:w="178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протяжённость всех </w:t>
            </w:r>
            <w:proofErr w:type="gramStart"/>
            <w:r>
              <w:rPr>
                <w:sz w:val="24"/>
              </w:rPr>
              <w:t>ВЛ</w:t>
            </w:r>
            <w:proofErr w:type="gramEnd"/>
          </w:p>
        </w:tc>
        <w:tc>
          <w:tcPr>
            <w:tcW w:w="178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параметры потока отказов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среднеквадратичные отклонения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t>L</w:t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3"/>
            </w:r>
            <w:r>
              <w:rPr>
                <w:sz w:val="24"/>
              </w:rPr>
              <w:t>[</w:t>
            </w: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]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t>L</w:t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3"/>
            </w:r>
            <w:r>
              <w:rPr>
                <w:sz w:val="24"/>
              </w:rPr>
              <w:t>[</w:t>
            </w: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]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……..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t>……..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……..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………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……….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t xml:space="preserve">m </w:t>
            </w:r>
            <w:r>
              <w:rPr>
                <w:sz w:val="24"/>
                <w:vertAlign w:val="subscript"/>
              </w:rPr>
              <w:t>k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t xml:space="preserve">L </w:t>
            </w:r>
            <w:r>
              <w:rPr>
                <w:sz w:val="24"/>
                <w:vertAlign w:val="subscript"/>
              </w:rPr>
              <w:t>k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  <w:vertAlign w:val="subscript"/>
              </w:rPr>
            </w:pPr>
            <w:r>
              <w:rPr>
                <w:sz w:val="24"/>
              </w:rPr>
              <w:sym w:font="Symbol" w:char="F077"/>
            </w:r>
            <w:r>
              <w:rPr>
                <w:sz w:val="24"/>
                <w:vertAlign w:val="subscript"/>
              </w:rPr>
              <w:t xml:space="preserve"> k</w:t>
            </w:r>
          </w:p>
        </w:tc>
        <w:tc>
          <w:tcPr>
            <w:tcW w:w="178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73"/>
            </w:r>
            <w:r>
              <w:rPr>
                <w:sz w:val="24"/>
              </w:rPr>
              <w:t>[</w:t>
            </w:r>
            <w:r>
              <w:rPr>
                <w:sz w:val="24"/>
              </w:rPr>
              <w:sym w:font="Symbol" w:char="F077"/>
            </w:r>
            <w:r>
              <w:rPr>
                <w:sz w:val="24"/>
              </w:rPr>
              <w:t>]</w:t>
            </w:r>
          </w:p>
        </w:tc>
      </w:tr>
    </w:tbl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851"/>
        <w:jc w:val="both"/>
        <w:rPr>
          <w:sz w:val="24"/>
          <w:u w:val="single"/>
        </w:rPr>
      </w:pPr>
      <w:r>
        <w:rPr>
          <w:sz w:val="24"/>
        </w:rPr>
        <w:t xml:space="preserve">Для оценки характера расхождения между математическими ожиданиями параметров потоков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используем критерий Ван-дер-</w:t>
      </w:r>
      <w:proofErr w:type="spellStart"/>
      <w:r>
        <w:rPr>
          <w:sz w:val="24"/>
        </w:rPr>
        <w:t>Вардена</w:t>
      </w:r>
      <w:proofErr w:type="spellEnd"/>
      <w:r>
        <w:rPr>
          <w:sz w:val="24"/>
        </w:rPr>
        <w:t xml:space="preserve">. </w:t>
      </w:r>
    </w:p>
    <w:p w:rsidR="00387B71" w:rsidRDefault="00387B71" w:rsidP="00387B71">
      <w:pPr>
        <w:ind w:firstLine="851"/>
        <w:jc w:val="both"/>
        <w:rPr>
          <w:sz w:val="24"/>
          <w:u w:val="single"/>
        </w:rPr>
      </w:pPr>
    </w:p>
    <w:p w:rsidR="00387B71" w:rsidRDefault="00387B71" w:rsidP="00387B71">
      <w:pPr>
        <w:ind w:left="589" w:firstLine="851"/>
        <w:jc w:val="both"/>
        <w:rPr>
          <w:sz w:val="24"/>
        </w:rPr>
      </w:pPr>
      <w:r>
        <w:rPr>
          <w:position w:val="-16"/>
          <w:sz w:val="24"/>
        </w:rPr>
        <w:object w:dxaOrig="1939" w:dyaOrig="440">
          <v:shape id="_x0000_i1034" type="#_x0000_t75" style="width:174pt;height:39pt" o:ole="" fillcolor="window">
            <v:imagedata r:id="rId20" o:title=""/>
          </v:shape>
          <o:OLEObject Type="Embed" ProgID="Equation.3" ShapeID="_x0000_i1034" DrawAspect="Content" ObjectID="_1577011256" r:id="rId2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(4.88)</w:t>
      </w:r>
    </w:p>
    <w:p w:rsidR="00387B71" w:rsidRDefault="00387B71" w:rsidP="00387B71">
      <w:pPr>
        <w:ind w:left="589" w:firstLine="851"/>
        <w:jc w:val="both"/>
        <w:rPr>
          <w:sz w:val="24"/>
        </w:rPr>
      </w:pPr>
    </w:p>
    <w:p w:rsidR="00387B71" w:rsidRDefault="00387B71" w:rsidP="00387B71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87B71" w:rsidRDefault="00387B71" w:rsidP="00387B71">
      <w:pPr>
        <w:ind w:left="1276" w:hanging="425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j</w:t>
      </w:r>
      <w:r>
        <w:rPr>
          <w:sz w:val="24"/>
        </w:rPr>
        <w:t xml:space="preserve"> – параметр потока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по информации j-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источника;</w:t>
      </w:r>
    </w:p>
    <w:p w:rsidR="00387B71" w:rsidRDefault="00387B71" w:rsidP="00387B71">
      <w:pPr>
        <w:ind w:left="1276" w:hanging="425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i</w:t>
      </w:r>
      <w:r>
        <w:rPr>
          <w:sz w:val="24"/>
        </w:rPr>
        <w:t xml:space="preserve"> - параметр потока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по информации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источника</w:t>
      </w:r>
    </w:p>
    <w:p w:rsidR="00387B71" w:rsidRDefault="00387B71" w:rsidP="00387B71">
      <w:pPr>
        <w:ind w:left="1276" w:hanging="425"/>
        <w:jc w:val="both"/>
        <w:rPr>
          <w:sz w:val="24"/>
        </w:rPr>
      </w:pPr>
      <w:r>
        <w:rPr>
          <w:sz w:val="24"/>
        </w:rPr>
        <w:t>D</w:t>
      </w:r>
      <w:r>
        <w:rPr>
          <w:sz w:val="24"/>
        </w:rPr>
        <w:sym w:font="Symbol" w:char="F05B"/>
      </w:r>
      <w:r>
        <w:rPr>
          <w:sz w:val="24"/>
        </w:rPr>
        <w:sym w:font="Symbol" w:char="F077"/>
      </w:r>
      <w:r>
        <w:rPr>
          <w:sz w:val="24"/>
        </w:rPr>
        <w:sym w:font="Symbol" w:char="F05D"/>
      </w:r>
      <w:r>
        <w:rPr>
          <w:sz w:val="24"/>
        </w:rPr>
        <w:t>- дисперсия математического ожидания “</w:t>
      </w:r>
      <w:r>
        <w:rPr>
          <w:sz w:val="24"/>
        </w:rPr>
        <w:sym w:font="Symbol" w:char="F077"/>
      </w:r>
      <w:r>
        <w:rPr>
          <w:sz w:val="24"/>
        </w:rPr>
        <w:t xml:space="preserve">”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</w:t>
      </w:r>
    </w:p>
    <w:p w:rsidR="00387B71" w:rsidRDefault="00387B71" w:rsidP="00387B71">
      <w:pPr>
        <w:ind w:left="1276" w:hanging="425"/>
        <w:jc w:val="both"/>
        <w:rPr>
          <w:sz w:val="24"/>
        </w:rPr>
      </w:pPr>
      <w:r>
        <w:rPr>
          <w:sz w:val="24"/>
        </w:rPr>
        <w:sym w:font="Symbol" w:char="F061"/>
      </w:r>
      <w:r>
        <w:rPr>
          <w:sz w:val="24"/>
        </w:rPr>
        <w:t xml:space="preserve"> - критический коэффициент, определяющий доверительную вероятность оценки характера расхождения между статическими характеристиками по каждому источнику информации.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567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 xml:space="preserve">4.11 Анализ отключений </w:t>
      </w:r>
      <w:proofErr w:type="gramStart"/>
      <w:r>
        <w:rPr>
          <w:b/>
          <w:sz w:val="24"/>
        </w:rPr>
        <w:t>ВЛ</w:t>
      </w:r>
      <w:proofErr w:type="gramEnd"/>
      <w:r>
        <w:rPr>
          <w:b/>
          <w:sz w:val="24"/>
        </w:rPr>
        <w:t xml:space="preserve"> 35-750кВ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t>Анализ состоит из 2-ух этапов</w:t>
      </w:r>
      <w:r w:rsidRPr="00F516EB">
        <w:rPr>
          <w:sz w:val="24"/>
        </w:rPr>
        <w:t xml:space="preserve">: </w:t>
      </w:r>
    </w:p>
    <w:p w:rsidR="00387B71" w:rsidRDefault="00387B71" w:rsidP="00387B71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Для автоматических устойчивых отключений.</w:t>
      </w:r>
    </w:p>
    <w:p w:rsidR="00387B71" w:rsidRDefault="00387B71" w:rsidP="00387B71">
      <w:pPr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Для преднамеренных отключений.</w:t>
      </w:r>
    </w:p>
    <w:p w:rsidR="00387B71" w:rsidRDefault="00387B71" w:rsidP="00387B71">
      <w:pPr>
        <w:ind w:left="567"/>
        <w:jc w:val="both"/>
        <w:rPr>
          <w:sz w:val="24"/>
          <w:lang w:val="en-US"/>
        </w:rPr>
      </w:pPr>
      <w:r>
        <w:rPr>
          <w:sz w:val="24"/>
        </w:rPr>
        <w:t>Проанализируем эти этапы</w:t>
      </w:r>
      <w:r>
        <w:rPr>
          <w:sz w:val="24"/>
          <w:lang w:val="en-US"/>
        </w:rPr>
        <w:t>:</w:t>
      </w:r>
    </w:p>
    <w:p w:rsidR="00387B71" w:rsidRDefault="00387B71" w:rsidP="00387B71">
      <w:pPr>
        <w:pStyle w:val="1"/>
        <w:ind w:firstLine="414"/>
        <w:rPr>
          <w:sz w:val="24"/>
        </w:rPr>
      </w:pPr>
      <w:r>
        <w:rPr>
          <w:sz w:val="24"/>
          <w:u w:val="single"/>
        </w:rPr>
        <w:t>Первый этап</w:t>
      </w:r>
      <w:r>
        <w:rPr>
          <w:sz w:val="24"/>
        </w:rPr>
        <w:t xml:space="preserve"> вызывают сильные изменения режима ЭС (вплоть до «развала»).</w:t>
      </w:r>
    </w:p>
    <w:p w:rsidR="00387B71" w:rsidRDefault="00387B71" w:rsidP="00387B71">
      <w:pPr>
        <w:ind w:firstLine="567"/>
        <w:jc w:val="both"/>
        <w:rPr>
          <w:sz w:val="24"/>
          <w:lang w:val="en-US"/>
        </w:rPr>
      </w:pPr>
      <w:r>
        <w:rPr>
          <w:sz w:val="24"/>
        </w:rPr>
        <w:t xml:space="preserve">Для его наступления достаточно отказа одного основного элемента ВЛ. Анализ требует оценки характеристик отключений как функции от эксплуатационных факторов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 учётом их конструктивных особенностей. Как исходная информация для изучения надёжности здесь требуется</w:t>
      </w:r>
      <w:r>
        <w:rPr>
          <w:sz w:val="24"/>
          <w:lang w:val="en-US"/>
        </w:rPr>
        <w:t>:</w:t>
      </w:r>
    </w:p>
    <w:p w:rsidR="00387B71" w:rsidRPr="00F516EB" w:rsidRDefault="00387B71" w:rsidP="00387B71">
      <w:pPr>
        <w:numPr>
          <w:ilvl w:val="0"/>
          <w:numId w:val="2"/>
        </w:numPr>
        <w:tabs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данные об отключениях (причины, время, длительность)</w:t>
      </w:r>
    </w:p>
    <w:p w:rsidR="00387B71" w:rsidRPr="00F516EB" w:rsidRDefault="00387B71" w:rsidP="00387B71">
      <w:pPr>
        <w:numPr>
          <w:ilvl w:val="0"/>
          <w:numId w:val="2"/>
        </w:numPr>
        <w:tabs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 xml:space="preserve">паспортные данные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(конструктивные особенности, год ввода и т.п.)</w:t>
      </w:r>
    </w:p>
    <w:p w:rsidR="00387B71" w:rsidRPr="00F516EB" w:rsidRDefault="00387B71" w:rsidP="00387B71">
      <w:pPr>
        <w:numPr>
          <w:ilvl w:val="0"/>
          <w:numId w:val="2"/>
        </w:numPr>
        <w:tabs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характеристики ПЭС (объём сетей, количество машин, численность персонала, информация о климатическом районе).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Важнейший показатель для оценки надёжности: средний параметр потока отключений </w:t>
      </w:r>
      <w:r>
        <w:rPr>
          <w:sz w:val="24"/>
        </w:rPr>
        <w:sym w:font="Symbol" w:char="F077"/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(</w:t>
      </w:r>
      <w:proofErr w:type="spellStart"/>
      <w:r>
        <w:rPr>
          <w:sz w:val="24"/>
        </w:rPr>
        <w:t>отк</w:t>
      </w:r>
      <w:proofErr w:type="spellEnd"/>
      <w:r>
        <w:rPr>
          <w:sz w:val="24"/>
        </w:rPr>
        <w:t>/год) выражается уравнением регрессии: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proofErr w:type="gramStart"/>
      <w:r>
        <w:rPr>
          <w:sz w:val="24"/>
          <w:vertAlign w:val="subscript"/>
        </w:rPr>
        <w:t>ВЛ</w:t>
      </w:r>
      <w:proofErr w:type="gramEnd"/>
      <w:r>
        <w:rPr>
          <w:sz w:val="24"/>
        </w:rPr>
        <w:t xml:space="preserve"> = 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0</w:t>
      </w:r>
      <w:r>
        <w:rPr>
          <w:sz w:val="24"/>
        </w:rPr>
        <w:t xml:space="preserve"> + </w:t>
      </w:r>
      <w:r>
        <w:rPr>
          <w:sz w:val="24"/>
        </w:rPr>
        <w:sym w:font="Symbol" w:char="F077"/>
      </w:r>
      <w:r>
        <w:rPr>
          <w:sz w:val="24"/>
          <w:vertAlign w:val="subscript"/>
          <w:lang w:val="en-US"/>
        </w:rPr>
        <w:t>L</w:t>
      </w:r>
      <w:r w:rsidRPr="00F516EB">
        <w:rPr>
          <w:sz w:val="24"/>
        </w:rPr>
        <w:t xml:space="preserve"> </w:t>
      </w:r>
      <w:proofErr w:type="spellStart"/>
      <w:r>
        <w:rPr>
          <w:sz w:val="24"/>
          <w:lang w:val="en-US"/>
        </w:rPr>
        <w:t>L</w:t>
      </w:r>
      <w:proofErr w:type="spellEnd"/>
      <w:r w:rsidRPr="00F516EB">
        <w:rPr>
          <w:sz w:val="24"/>
        </w:rPr>
        <w:t>,</w:t>
      </w:r>
    </w:p>
    <w:p w:rsidR="00387B71" w:rsidRDefault="00387B71" w:rsidP="00387B71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</w:rPr>
        <w:t>0</w:t>
      </w:r>
      <w:r>
        <w:rPr>
          <w:sz w:val="24"/>
        </w:rPr>
        <w:t xml:space="preserve"> – составляющая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, не зависящая от длины ВЛ </w:t>
      </w:r>
      <w:r>
        <w:rPr>
          <w:sz w:val="24"/>
          <w:lang w:val="en-US"/>
        </w:rPr>
        <w:t>L</w:t>
      </w:r>
      <w:r>
        <w:rPr>
          <w:sz w:val="24"/>
          <w:vertAlign w:val="subscript"/>
        </w:rPr>
        <w:t>ВЛ</w:t>
      </w:r>
      <w:r>
        <w:rPr>
          <w:sz w:val="24"/>
        </w:rPr>
        <w:t xml:space="preserve">, </w:t>
      </w:r>
      <w:proofErr w:type="spellStart"/>
      <w:r>
        <w:rPr>
          <w:sz w:val="24"/>
        </w:rPr>
        <w:t>отк</w:t>
      </w:r>
      <w:proofErr w:type="spellEnd"/>
      <w:r>
        <w:rPr>
          <w:sz w:val="24"/>
        </w:rPr>
        <w:t>/год;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sym w:font="Symbol" w:char="F077"/>
      </w:r>
      <w:r>
        <w:rPr>
          <w:sz w:val="24"/>
          <w:vertAlign w:val="subscript"/>
          <w:lang w:val="en-US"/>
        </w:rPr>
        <w:t>L</w:t>
      </w:r>
      <w:r w:rsidRPr="00F516EB">
        <w:rPr>
          <w:sz w:val="24"/>
        </w:rPr>
        <w:t xml:space="preserve"> – </w:t>
      </w:r>
      <w:proofErr w:type="gramStart"/>
      <w:r>
        <w:rPr>
          <w:sz w:val="24"/>
        </w:rPr>
        <w:t>составляющая</w:t>
      </w:r>
      <w:proofErr w:type="gramEnd"/>
      <w:r>
        <w:rPr>
          <w:sz w:val="24"/>
        </w:rPr>
        <w:t xml:space="preserve"> среднего значения потока отказов «</w:t>
      </w:r>
      <w:r>
        <w:rPr>
          <w:sz w:val="24"/>
        </w:rPr>
        <w:sym w:font="Symbol" w:char="F077"/>
      </w:r>
      <w:r>
        <w:rPr>
          <w:sz w:val="24"/>
        </w:rPr>
        <w:t xml:space="preserve">» на единицу длинны ВЛ, </w:t>
      </w:r>
      <w:proofErr w:type="spellStart"/>
      <w:r>
        <w:rPr>
          <w:sz w:val="24"/>
        </w:rPr>
        <w:t>отк</w:t>
      </w:r>
      <w:proofErr w:type="spellEnd"/>
      <w:r>
        <w:rPr>
          <w:sz w:val="24"/>
        </w:rPr>
        <w:t>/(год км);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t>Для оценки показателей «</w:t>
      </w:r>
      <w:r>
        <w:rPr>
          <w:sz w:val="24"/>
        </w:rPr>
        <w:sym w:font="Symbol" w:char="F077"/>
      </w:r>
      <w:r>
        <w:rPr>
          <w:sz w:val="24"/>
          <w:vertAlign w:val="subscript"/>
        </w:rPr>
        <w:t>0</w:t>
      </w:r>
      <w:r>
        <w:rPr>
          <w:sz w:val="24"/>
        </w:rPr>
        <w:t>» и «</w:t>
      </w:r>
      <w:r>
        <w:rPr>
          <w:sz w:val="24"/>
        </w:rPr>
        <w:sym w:font="Symbol" w:char="F077"/>
      </w:r>
      <w:r>
        <w:rPr>
          <w:sz w:val="24"/>
          <w:vertAlign w:val="subscript"/>
          <w:lang w:val="en-US"/>
        </w:rPr>
        <w:t>L</w:t>
      </w:r>
      <w:r>
        <w:rPr>
          <w:sz w:val="24"/>
        </w:rPr>
        <w:t xml:space="preserve">» по </w:t>
      </w:r>
      <w:proofErr w:type="spellStart"/>
      <w:r>
        <w:rPr>
          <w:sz w:val="24"/>
        </w:rPr>
        <w:t>статистичеким</w:t>
      </w:r>
      <w:proofErr w:type="spellEnd"/>
      <w:r>
        <w:rPr>
          <w:sz w:val="24"/>
        </w:rPr>
        <w:t xml:space="preserve"> данным используются уравнения:</w:t>
      </w:r>
    </w:p>
    <w:p w:rsidR="00387B71" w:rsidRDefault="00387B71" w:rsidP="00387B71">
      <w:pPr>
        <w:ind w:left="1309" w:firstLine="851"/>
        <w:jc w:val="both"/>
        <w:rPr>
          <w:sz w:val="24"/>
        </w:rPr>
      </w:pPr>
      <w:r>
        <w:rPr>
          <w:position w:val="-66"/>
          <w:sz w:val="24"/>
        </w:rPr>
        <w:object w:dxaOrig="2299" w:dyaOrig="1380">
          <v:shape id="_x0000_i1035" type="#_x0000_t75" style="width:114.75pt;height:69pt" o:ole="" fillcolor="window">
            <v:imagedata r:id="rId22" o:title=""/>
          </v:shape>
          <o:OLEObject Type="Embed" ProgID="Equation.3" ShapeID="_x0000_i1035" DrawAspect="Content" ObjectID="_1577011257" r:id="rId2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position w:val="-12"/>
          <w:sz w:val="24"/>
        </w:rPr>
        <w:object w:dxaOrig="1359" w:dyaOrig="499">
          <v:shape id="_x0000_i1036" type="#_x0000_t75" style="width:68.25pt;height:24.75pt" o:ole="" fillcolor="window">
            <v:imagedata r:id="rId24" o:title=""/>
          </v:shape>
          <o:OLEObject Type="Embed" ProgID="Equation.3" ShapeID="_x0000_i1036" DrawAspect="Content" ObjectID="_1577011258" r:id="rId25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(4.89)</w:t>
      </w:r>
    </w:p>
    <w:p w:rsidR="00387B71" w:rsidRDefault="00387B71" w:rsidP="00387B71">
      <w:pPr>
        <w:ind w:left="1309" w:firstLine="851"/>
        <w:jc w:val="both"/>
        <w:rPr>
          <w:sz w:val="24"/>
        </w:rPr>
      </w:pPr>
      <w:r>
        <w:rPr>
          <w:position w:val="-28"/>
          <w:sz w:val="24"/>
        </w:rPr>
        <w:object w:dxaOrig="2540" w:dyaOrig="680">
          <v:shape id="_x0000_i1037" type="#_x0000_t75" style="width:126.75pt;height:33.75pt" o:ole="" fillcolor="window">
            <v:imagedata r:id="rId26" o:title=""/>
          </v:shape>
          <o:OLEObject Type="Embed" ProgID="Equation.3" ShapeID="_x0000_i1037" DrawAspect="Content" ObjectID="_1577011259" r:id="rId27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(4.90)</w:t>
      </w:r>
    </w:p>
    <w:p w:rsidR="00387B71" w:rsidRDefault="00387B71" w:rsidP="00387B71">
      <w:pPr>
        <w:ind w:left="1309" w:hanging="883"/>
        <w:jc w:val="both"/>
        <w:rPr>
          <w:sz w:val="24"/>
        </w:rPr>
      </w:pPr>
      <w:r>
        <w:rPr>
          <w:sz w:val="24"/>
        </w:rPr>
        <w:t>где</w:t>
      </w:r>
    </w:p>
    <w:p w:rsidR="00387B71" w:rsidRPr="00F516EB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х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 xml:space="preserve"> – </w:t>
      </w:r>
      <w:r>
        <w:rPr>
          <w:sz w:val="24"/>
        </w:rPr>
        <w:t xml:space="preserve">длина </w:t>
      </w:r>
      <w:r>
        <w:rPr>
          <w:sz w:val="24"/>
          <w:lang w:val="en-US"/>
        </w:rPr>
        <w:t>i</w:t>
      </w:r>
      <w:r w:rsidRPr="00F516EB">
        <w:rPr>
          <w:sz w:val="24"/>
        </w:rPr>
        <w:t xml:space="preserve">-й </w:t>
      </w:r>
      <w:proofErr w:type="gramStart"/>
      <w:r w:rsidRPr="00F516EB">
        <w:rPr>
          <w:sz w:val="24"/>
        </w:rPr>
        <w:t>ВЛ</w:t>
      </w:r>
      <w:proofErr w:type="gramEnd"/>
      <w:r w:rsidRPr="00F516EB">
        <w:rPr>
          <w:sz w:val="24"/>
        </w:rPr>
        <w:t>;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proofErr w:type="gramStart"/>
      <w:r>
        <w:rPr>
          <w:sz w:val="24"/>
          <w:lang w:val="en-US"/>
        </w:rPr>
        <w:t>y</w:t>
      </w:r>
      <w:r>
        <w:rPr>
          <w:sz w:val="24"/>
          <w:vertAlign w:val="subscript"/>
          <w:lang w:val="en-US"/>
        </w:rPr>
        <w:t>i</w:t>
      </w:r>
      <w:proofErr w:type="spellEnd"/>
      <w:proofErr w:type="gramEnd"/>
      <w:r w:rsidRPr="00F516EB">
        <w:rPr>
          <w:sz w:val="24"/>
        </w:rPr>
        <w:t xml:space="preserve"> – число отказов </w:t>
      </w:r>
      <w:r>
        <w:rPr>
          <w:sz w:val="24"/>
          <w:lang w:val="en-US"/>
        </w:rPr>
        <w:t>i</w:t>
      </w:r>
      <w:r w:rsidRPr="00F516EB">
        <w:rPr>
          <w:sz w:val="24"/>
        </w:rPr>
        <w:t>-й ВЛ в год;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</w:rPr>
        <w:t xml:space="preserve"> – </w:t>
      </w:r>
      <w:proofErr w:type="gramStart"/>
      <w:r>
        <w:rPr>
          <w:sz w:val="24"/>
        </w:rPr>
        <w:t>число</w:t>
      </w:r>
      <w:proofErr w:type="gramEnd"/>
      <w:r>
        <w:rPr>
          <w:sz w:val="24"/>
        </w:rPr>
        <w:t xml:space="preserve"> ВЛ.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t xml:space="preserve">Для планирования ремонтных работ на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, организация бригад, управление аварийными запасами материалов необходима информация об изменении характеристик автоматического устойчивого отключения ВЛ в зависимости от сезона года и интервала времени суток (0-8, 8-16, 16-24 часов).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t>Изменение времени восстановления (</w:t>
      </w:r>
      <w:proofErr w:type="spellStart"/>
      <w:r>
        <w:rPr>
          <w:sz w:val="24"/>
        </w:rPr>
        <w:t>Тв</w:t>
      </w:r>
      <w:proofErr w:type="spellEnd"/>
      <w:r>
        <w:rPr>
          <w:sz w:val="24"/>
        </w:rPr>
        <w:t>) по сезонам и времени суток можно объяснить на основе анализа его составляющих: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100 </w:t>
      </w:r>
      <w:r>
        <w:rPr>
          <w:sz w:val="24"/>
        </w:rPr>
        <w:sym w:font="Symbol" w:char="F07E"/>
      </w:r>
      <w:r>
        <w:rPr>
          <w:sz w:val="24"/>
        </w:rPr>
        <w:t xml:space="preserve"> 12%     43%    39%   6%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spellEnd"/>
      <w:r>
        <w:rPr>
          <w:sz w:val="24"/>
        </w:rPr>
        <w:t xml:space="preserve"> = </w:t>
      </w:r>
      <w:proofErr w:type="spellStart"/>
      <w:r>
        <w:rPr>
          <w:sz w:val="24"/>
        </w:rPr>
        <w:t>Тв</w:t>
      </w:r>
      <w:proofErr w:type="gramStart"/>
      <w:r>
        <w:rPr>
          <w:sz w:val="24"/>
        </w:rPr>
        <w:t>,п</w:t>
      </w:r>
      <w:proofErr w:type="spellEnd"/>
      <w:proofErr w:type="gramEnd"/>
      <w:r>
        <w:rPr>
          <w:sz w:val="24"/>
        </w:rPr>
        <w:t xml:space="preserve"> + </w:t>
      </w:r>
      <w:proofErr w:type="spellStart"/>
      <w:r>
        <w:rPr>
          <w:sz w:val="24"/>
        </w:rPr>
        <w:t>Тв,д</w:t>
      </w:r>
      <w:proofErr w:type="spellEnd"/>
      <w:r>
        <w:rPr>
          <w:sz w:val="24"/>
        </w:rPr>
        <w:t xml:space="preserve"> + </w:t>
      </w:r>
      <w:proofErr w:type="spellStart"/>
      <w:r>
        <w:rPr>
          <w:sz w:val="24"/>
        </w:rPr>
        <w:t>Тв,р</w:t>
      </w:r>
      <w:proofErr w:type="spellEnd"/>
      <w:r>
        <w:rPr>
          <w:sz w:val="24"/>
        </w:rPr>
        <w:t xml:space="preserve"> +</w:t>
      </w:r>
      <w:proofErr w:type="spellStart"/>
      <w:r>
        <w:rPr>
          <w:sz w:val="24"/>
        </w:rPr>
        <w:t>Тв,в</w:t>
      </w:r>
      <w:proofErr w:type="spellEnd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(4.91)</w:t>
      </w:r>
    </w:p>
    <w:p w:rsidR="00387B71" w:rsidRDefault="00387B71" w:rsidP="00387B71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gramStart"/>
      <w:r>
        <w:rPr>
          <w:sz w:val="24"/>
        </w:rPr>
        <w:t>,п</w:t>
      </w:r>
      <w:proofErr w:type="spellEnd"/>
      <w:proofErr w:type="gramEnd"/>
      <w:r>
        <w:rPr>
          <w:sz w:val="24"/>
        </w:rPr>
        <w:t xml:space="preserve"> – время на поиск и локализацию места повреждения ВЛ;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gramStart"/>
      <w:r>
        <w:rPr>
          <w:sz w:val="24"/>
        </w:rPr>
        <w:t>,д</w:t>
      </w:r>
      <w:proofErr w:type="spellEnd"/>
      <w:proofErr w:type="gramEnd"/>
      <w:r>
        <w:rPr>
          <w:sz w:val="24"/>
        </w:rPr>
        <w:t xml:space="preserve"> – время на организацию аварийно-ремонтного персонала, доставку бригады и материалов к месту работы;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gramStart"/>
      <w:r>
        <w:rPr>
          <w:sz w:val="24"/>
        </w:rPr>
        <w:t>,р</w:t>
      </w:r>
      <w:proofErr w:type="spellEnd"/>
      <w:proofErr w:type="gramEnd"/>
      <w:r>
        <w:rPr>
          <w:sz w:val="24"/>
        </w:rPr>
        <w:t xml:space="preserve"> – время на выполнение ремонтно восстановительных операций;</w:t>
      </w:r>
    </w:p>
    <w:p w:rsidR="00387B71" w:rsidRDefault="00387B71" w:rsidP="00387B71">
      <w:pPr>
        <w:ind w:firstLine="851"/>
        <w:jc w:val="both"/>
        <w:rPr>
          <w:sz w:val="24"/>
        </w:rPr>
      </w:pPr>
      <w:proofErr w:type="spellStart"/>
      <w:r>
        <w:rPr>
          <w:sz w:val="24"/>
        </w:rPr>
        <w:t>Тв</w:t>
      </w:r>
      <w:proofErr w:type="gramStart"/>
      <w:r>
        <w:rPr>
          <w:sz w:val="24"/>
        </w:rPr>
        <w:t>,в</w:t>
      </w:r>
      <w:proofErr w:type="spellEnd"/>
      <w:proofErr w:type="gramEnd"/>
      <w:r>
        <w:rPr>
          <w:sz w:val="24"/>
        </w:rPr>
        <w:t xml:space="preserve"> – время на включение ВЛ под напряжение.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t xml:space="preserve">Коэффициент ремонтопригодности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(характеризует уровень организации ремонтно восстановительных работ в ПЭС):</w:t>
      </w:r>
    </w:p>
    <w:p w:rsidR="00387B71" w:rsidRDefault="00387B71" w:rsidP="00387B71">
      <w:pPr>
        <w:ind w:left="720" w:firstLine="851"/>
        <w:jc w:val="both"/>
        <w:rPr>
          <w:sz w:val="24"/>
        </w:rPr>
      </w:pPr>
      <w:r>
        <w:rPr>
          <w:position w:val="-28"/>
          <w:sz w:val="24"/>
        </w:rPr>
        <w:object w:dxaOrig="3260" w:dyaOrig="660">
          <v:shape id="_x0000_i1038" type="#_x0000_t75" style="width:162.75pt;height:33pt" o:ole="" fillcolor="window">
            <v:imagedata r:id="rId28" o:title=""/>
          </v:shape>
          <o:OLEObject Type="Embed" ProgID="Equation.3" ShapeID="_x0000_i1038" DrawAspect="Content" ObjectID="_1577011260" r:id="rId29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(4.92)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br w:type="page"/>
      </w:r>
      <w:r>
        <w:rPr>
          <w:sz w:val="24"/>
        </w:rPr>
        <w:lastRenderedPageBreak/>
        <w:t xml:space="preserve">Анализ причин автоматических устойчивых отключений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:</w:t>
      </w:r>
    </w:p>
    <w:p w:rsidR="00387B71" w:rsidRDefault="00387B71" w:rsidP="00387B71">
      <w:pPr>
        <w:numPr>
          <w:ilvl w:val="0"/>
          <w:numId w:val="3"/>
        </w:numPr>
        <w:tabs>
          <w:tab w:val="num" w:pos="1211"/>
        </w:tabs>
        <w:ind w:left="927"/>
        <w:jc w:val="both"/>
        <w:rPr>
          <w:sz w:val="24"/>
        </w:rPr>
      </w:pPr>
      <w:r>
        <w:rPr>
          <w:sz w:val="24"/>
        </w:rPr>
        <w:t>климатические воздействия – 38% (грозовые перенапряжения, гололёдные и ветровые перенапряжения, наводнения и т.п.);</w:t>
      </w:r>
    </w:p>
    <w:p w:rsidR="00387B71" w:rsidRDefault="00387B71" w:rsidP="00387B71">
      <w:pPr>
        <w:numPr>
          <w:ilvl w:val="0"/>
          <w:numId w:val="3"/>
        </w:numPr>
        <w:tabs>
          <w:tab w:val="num" w:pos="1211"/>
        </w:tabs>
        <w:ind w:left="927"/>
        <w:jc w:val="both"/>
        <w:rPr>
          <w:sz w:val="24"/>
        </w:rPr>
      </w:pPr>
      <w:r>
        <w:rPr>
          <w:sz w:val="24"/>
        </w:rPr>
        <w:t>дефекты эксплуатации – 9%;</w:t>
      </w:r>
    </w:p>
    <w:p w:rsidR="00387B71" w:rsidRDefault="00387B71" w:rsidP="00387B71">
      <w:pPr>
        <w:numPr>
          <w:ilvl w:val="0"/>
          <w:numId w:val="3"/>
        </w:numPr>
        <w:tabs>
          <w:tab w:val="num" w:pos="1211"/>
        </w:tabs>
        <w:ind w:left="927"/>
        <w:jc w:val="both"/>
        <w:rPr>
          <w:sz w:val="24"/>
        </w:rPr>
      </w:pPr>
      <w:r>
        <w:rPr>
          <w:sz w:val="24"/>
        </w:rPr>
        <w:t>посторонние воздействия – 22%;</w:t>
      </w:r>
    </w:p>
    <w:p w:rsidR="00387B71" w:rsidRDefault="00387B71" w:rsidP="00387B71">
      <w:pPr>
        <w:numPr>
          <w:ilvl w:val="0"/>
          <w:numId w:val="3"/>
        </w:numPr>
        <w:tabs>
          <w:tab w:val="num" w:pos="1211"/>
        </w:tabs>
        <w:ind w:left="927"/>
        <w:jc w:val="both"/>
        <w:rPr>
          <w:sz w:val="24"/>
        </w:rPr>
      </w:pPr>
      <w:r>
        <w:rPr>
          <w:sz w:val="24"/>
        </w:rPr>
        <w:t>дефекты монтажа и конструкции – 4%;</w:t>
      </w:r>
    </w:p>
    <w:p w:rsidR="00387B71" w:rsidRDefault="00387B71" w:rsidP="00387B71">
      <w:pPr>
        <w:numPr>
          <w:ilvl w:val="0"/>
          <w:numId w:val="3"/>
        </w:numPr>
        <w:tabs>
          <w:tab w:val="num" w:pos="1211"/>
        </w:tabs>
        <w:ind w:left="927"/>
        <w:jc w:val="both"/>
        <w:rPr>
          <w:sz w:val="24"/>
        </w:rPr>
      </w:pPr>
      <w:r>
        <w:rPr>
          <w:sz w:val="24"/>
        </w:rPr>
        <w:t>невыясненные причины –2%.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</w:rPr>
        <w:t xml:space="preserve">В таблице 4.5 приведена статистика отказов по их распределению между элементами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(США, ФРГ), %:</w:t>
      </w:r>
    </w:p>
    <w:p w:rsidR="00387B71" w:rsidRDefault="00387B71" w:rsidP="00387B71">
      <w:pPr>
        <w:ind w:firstLine="4678"/>
        <w:jc w:val="both"/>
        <w:rPr>
          <w:sz w:val="24"/>
        </w:rPr>
      </w:pPr>
      <w:r>
        <w:rPr>
          <w:sz w:val="24"/>
        </w:rPr>
        <w:t>Таблица 4.5</w:t>
      </w:r>
    </w:p>
    <w:tbl>
      <w:tblPr>
        <w:tblW w:w="0" w:type="auto"/>
        <w:tblInd w:w="13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6"/>
        <w:gridCol w:w="2953"/>
        <w:gridCol w:w="992"/>
        <w:gridCol w:w="851"/>
      </w:tblGrid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США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ФРГ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Опоры</w:t>
            </w: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Провода</w:t>
            </w: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Тросы</w:t>
            </w: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Гирлянды изоляторов</w:t>
            </w: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Арматура и соединители</w:t>
            </w: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439"/>
        </w:trPr>
        <w:tc>
          <w:tcPr>
            <w:tcW w:w="476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</w:p>
        </w:tc>
        <w:tc>
          <w:tcPr>
            <w:tcW w:w="2953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Всего:</w:t>
            </w:r>
          </w:p>
        </w:tc>
        <w:tc>
          <w:tcPr>
            <w:tcW w:w="992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1" w:type="dxa"/>
          </w:tcPr>
          <w:p w:rsidR="00387B71" w:rsidRDefault="00387B71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</w:tbl>
    <w:p w:rsidR="00387B71" w:rsidRPr="00C74ACF" w:rsidRDefault="00387B71" w:rsidP="00387B71">
      <w:pPr>
        <w:ind w:firstLine="851"/>
        <w:jc w:val="both"/>
        <w:rPr>
          <w:sz w:val="24"/>
        </w:rPr>
      </w:pPr>
      <w:r>
        <w:rPr>
          <w:sz w:val="24"/>
          <w:u w:val="single"/>
        </w:rPr>
        <w:t>Второй этап</w:t>
      </w:r>
      <w:r>
        <w:rPr>
          <w:sz w:val="24"/>
        </w:rPr>
        <w:t xml:space="preserve"> анализа отключений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35-750кВ – преднамеренные отключения. Их число на порядок выше числа отказов ВЛ. Преднамеренные отключения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применяются в следующих случаях</w:t>
      </w:r>
      <w:r w:rsidRPr="00C74ACF">
        <w:rPr>
          <w:sz w:val="24"/>
        </w:rPr>
        <w:t>:</w:t>
      </w:r>
    </w:p>
    <w:p w:rsidR="00387B71" w:rsidRPr="00F516EB" w:rsidRDefault="00387B71" w:rsidP="00387B71">
      <w:pPr>
        <w:numPr>
          <w:ilvl w:val="0"/>
          <w:numId w:val="4"/>
        </w:numPr>
        <w:ind w:left="927"/>
        <w:jc w:val="both"/>
        <w:rPr>
          <w:sz w:val="24"/>
        </w:rPr>
      </w:pPr>
      <w:r>
        <w:rPr>
          <w:sz w:val="24"/>
        </w:rPr>
        <w:t>проведение ремонтов и технического обслуживания;</w:t>
      </w:r>
    </w:p>
    <w:p w:rsidR="00387B71" w:rsidRPr="00F516EB" w:rsidRDefault="00387B71" w:rsidP="00387B71">
      <w:pPr>
        <w:numPr>
          <w:ilvl w:val="0"/>
          <w:numId w:val="4"/>
        </w:numPr>
        <w:ind w:left="927"/>
        <w:jc w:val="both"/>
        <w:rPr>
          <w:sz w:val="24"/>
        </w:rPr>
      </w:pPr>
      <w:r>
        <w:rPr>
          <w:sz w:val="24"/>
        </w:rPr>
        <w:t>реконструкции сложного оборудования ЛЭП (шин, трансформаторов, коммутационных аппаратов);</w:t>
      </w:r>
    </w:p>
    <w:p w:rsidR="00387B71" w:rsidRPr="00F516EB" w:rsidRDefault="00387B71" w:rsidP="00387B71">
      <w:pPr>
        <w:numPr>
          <w:ilvl w:val="0"/>
          <w:numId w:val="4"/>
        </w:numPr>
        <w:ind w:left="927"/>
        <w:jc w:val="both"/>
        <w:rPr>
          <w:sz w:val="24"/>
        </w:rPr>
      </w:pPr>
      <w:r>
        <w:rPr>
          <w:sz w:val="24"/>
        </w:rPr>
        <w:t xml:space="preserve">реконструкции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(изменение типа опор, марки провода, трассы и т.п.);</w:t>
      </w:r>
    </w:p>
    <w:p w:rsidR="00387B71" w:rsidRPr="00F516EB" w:rsidRDefault="00387B71" w:rsidP="00387B71">
      <w:pPr>
        <w:numPr>
          <w:ilvl w:val="0"/>
          <w:numId w:val="4"/>
        </w:numPr>
        <w:ind w:left="927"/>
        <w:jc w:val="both"/>
        <w:rPr>
          <w:sz w:val="24"/>
        </w:rPr>
      </w:pPr>
      <w:r>
        <w:rPr>
          <w:sz w:val="24"/>
        </w:rPr>
        <w:t xml:space="preserve">по заявкам организаций (работы в зоне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).</w:t>
      </w:r>
    </w:p>
    <w:p w:rsidR="00387B71" w:rsidRDefault="00387B71" w:rsidP="00387B71">
      <w:pPr>
        <w:ind w:left="567"/>
        <w:jc w:val="both"/>
        <w:rPr>
          <w:sz w:val="24"/>
        </w:rPr>
      </w:pPr>
      <w:r>
        <w:rPr>
          <w:sz w:val="24"/>
        </w:rPr>
        <w:t xml:space="preserve">Во всех случаях имеем интервал времени между решением и моментом отключения. Преднамеренные отключения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создают большой объём работ и существенно влияют на их надёжность. Их учёт необходим по следующим причинам</w:t>
      </w:r>
      <w:r>
        <w:rPr>
          <w:sz w:val="24"/>
          <w:lang w:val="en-US"/>
        </w:rPr>
        <w:t>:</w:t>
      </w:r>
    </w:p>
    <w:p w:rsidR="00387B71" w:rsidRDefault="00387B71" w:rsidP="00387B71">
      <w:pPr>
        <w:numPr>
          <w:ilvl w:val="0"/>
          <w:numId w:val="5"/>
        </w:numPr>
        <w:tabs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 xml:space="preserve">необходимость повышения надёжности и качества монтажа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;</w:t>
      </w:r>
    </w:p>
    <w:p w:rsidR="00387B71" w:rsidRDefault="00387B71" w:rsidP="00387B71">
      <w:pPr>
        <w:numPr>
          <w:ilvl w:val="0"/>
          <w:numId w:val="5"/>
        </w:numPr>
        <w:tabs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управления работой ПЭС;</w:t>
      </w:r>
    </w:p>
    <w:p w:rsidR="00387B71" w:rsidRDefault="00387B71" w:rsidP="00387B71">
      <w:pPr>
        <w:numPr>
          <w:ilvl w:val="0"/>
          <w:numId w:val="5"/>
        </w:numPr>
        <w:tabs>
          <w:tab w:val="num" w:pos="927"/>
        </w:tabs>
        <w:ind w:left="927"/>
        <w:jc w:val="both"/>
        <w:rPr>
          <w:sz w:val="24"/>
        </w:rPr>
      </w:pPr>
      <w:r>
        <w:rPr>
          <w:sz w:val="24"/>
        </w:rPr>
        <w:t>повышения надёжности электрической сети.</w:t>
      </w:r>
    </w:p>
    <w:p w:rsidR="00387B71" w:rsidRPr="00F516EB" w:rsidRDefault="00387B71" w:rsidP="00387B71">
      <w:pPr>
        <w:ind w:left="567"/>
        <w:jc w:val="both"/>
        <w:rPr>
          <w:sz w:val="24"/>
        </w:rPr>
      </w:pPr>
      <w:r>
        <w:rPr>
          <w:sz w:val="24"/>
        </w:rPr>
        <w:t>Поток преднамеренных отключений имеет две составляющие</w:t>
      </w:r>
      <w:r w:rsidRPr="00F516EB">
        <w:rPr>
          <w:sz w:val="24"/>
        </w:rPr>
        <w:t>:</w:t>
      </w:r>
    </w:p>
    <w:p w:rsidR="00387B71" w:rsidRDefault="00387B71" w:rsidP="00387B71">
      <w:pPr>
        <w:ind w:left="567"/>
        <w:jc w:val="both"/>
        <w:rPr>
          <w:sz w:val="24"/>
        </w:rPr>
      </w:pPr>
      <w:r>
        <w:rPr>
          <w:sz w:val="24"/>
          <w:lang w:val="en-US"/>
        </w:rPr>
        <w:sym w:font="Symbol" w:char="F077"/>
      </w:r>
      <w:r w:rsidRPr="00F516EB">
        <w:rPr>
          <w:sz w:val="24"/>
        </w:rPr>
        <w:t xml:space="preserve"> </w:t>
      </w:r>
      <w:r>
        <w:rPr>
          <w:sz w:val="24"/>
        </w:rPr>
        <w:t xml:space="preserve">плановых отключений и </w:t>
      </w:r>
      <w:r>
        <w:rPr>
          <w:sz w:val="24"/>
        </w:rPr>
        <w:sym w:font="Symbol" w:char="F077"/>
      </w:r>
      <w:r>
        <w:rPr>
          <w:sz w:val="24"/>
        </w:rPr>
        <w:t xml:space="preserve"> внеплановых отключений.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Плановые отключения служат для ремонтов и реконструкции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 смежного оборудования по заявкам организаций. Поток плановых отключений – детерминированный, но поток восстановлений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– случайный (погодные условия, диспетчерские факторы управления и т.д.). Сумма этих двух потоков представляет новый случайный поток отказов. Параметры потоков отказов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оцениваем с помощью математической статистики.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Обработка первичной информации методами математической статистики даёт оценку 2-ух основных показателей: среднюю периодичность преднамеренных отключений в год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определённого типа (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t>0</w:t>
      </w:r>
      <w:r>
        <w:rPr>
          <w:sz w:val="24"/>
        </w:rPr>
        <w:t>) и среднюю продолжительность преднамеренных отключений ВЛ в год на единицу длины (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L</w:t>
      </w:r>
      <w:r>
        <w:rPr>
          <w:sz w:val="24"/>
        </w:rPr>
        <w:t>), т.е.</w:t>
      </w:r>
    </w:p>
    <w:p w:rsidR="00387B71" w:rsidRDefault="00387B71" w:rsidP="00387B71">
      <w:pPr>
        <w:ind w:left="720" w:firstLine="720"/>
        <w:jc w:val="both"/>
        <w:rPr>
          <w:sz w:val="24"/>
        </w:rPr>
      </w:pPr>
      <w:r>
        <w:rPr>
          <w:sz w:val="24"/>
        </w:rPr>
        <w:sym w:font="Symbol" w:char="F06D"/>
      </w:r>
      <w:r w:rsidRPr="00F516EB">
        <w:rPr>
          <w:sz w:val="24"/>
        </w:rPr>
        <w:t xml:space="preserve"> = </w:t>
      </w:r>
      <w:r>
        <w:rPr>
          <w:sz w:val="24"/>
        </w:rPr>
        <w:t xml:space="preserve"> </w:t>
      </w:r>
      <w:r>
        <w:rPr>
          <w:sz w:val="24"/>
        </w:rPr>
        <w:sym w:font="Symbol" w:char="F06D"/>
      </w:r>
      <w:r>
        <w:rPr>
          <w:sz w:val="24"/>
          <w:vertAlign w:val="subscript"/>
        </w:rPr>
        <w:t>0</w:t>
      </w:r>
      <w:r w:rsidRPr="00F516EB">
        <w:rPr>
          <w:sz w:val="24"/>
          <w:vertAlign w:val="subscript"/>
        </w:rPr>
        <w:t xml:space="preserve"> </w:t>
      </w:r>
      <w:r w:rsidRPr="00F516EB">
        <w:rPr>
          <w:sz w:val="24"/>
        </w:rPr>
        <w:t>+</w:t>
      </w:r>
      <w:r>
        <w:rPr>
          <w:sz w:val="24"/>
        </w:rPr>
        <w:t xml:space="preserve"> 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L</w:t>
      </w:r>
      <w:r w:rsidRPr="00F516EB">
        <w:rPr>
          <w:sz w:val="24"/>
        </w:rPr>
        <w:t xml:space="preserve"> </w:t>
      </w:r>
      <w:proofErr w:type="spellStart"/>
      <w:r>
        <w:rPr>
          <w:sz w:val="24"/>
          <w:lang w:val="en-US"/>
        </w:rPr>
        <w:t>L</w:t>
      </w:r>
      <w:proofErr w:type="spellEnd"/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(4.93)</w:t>
      </w:r>
    </w:p>
    <w:p w:rsidR="00387B71" w:rsidRDefault="00387B71" w:rsidP="00387B71">
      <w:pPr>
        <w:ind w:firstLine="284"/>
        <w:jc w:val="both"/>
        <w:rPr>
          <w:sz w:val="24"/>
        </w:rPr>
      </w:pPr>
      <w:r>
        <w:rPr>
          <w:sz w:val="24"/>
        </w:rPr>
        <w:t>где</w:t>
      </w:r>
    </w:p>
    <w:p w:rsidR="00387B71" w:rsidRDefault="00387B71" w:rsidP="00387B71">
      <w:pPr>
        <w:ind w:firstLine="567"/>
        <w:jc w:val="both"/>
        <w:rPr>
          <w:sz w:val="24"/>
        </w:rPr>
      </w:pPr>
      <w:r>
        <w:rPr>
          <w:sz w:val="24"/>
          <w:lang w:val="en-US"/>
        </w:rPr>
        <w:t>L</w:t>
      </w:r>
      <w:r w:rsidRPr="00F516EB">
        <w:rPr>
          <w:sz w:val="24"/>
        </w:rPr>
        <w:t xml:space="preserve"> – </w:t>
      </w:r>
      <w:proofErr w:type="gramStart"/>
      <w:r w:rsidRPr="00F516EB">
        <w:rPr>
          <w:sz w:val="24"/>
        </w:rPr>
        <w:t>длина</w:t>
      </w:r>
      <w:proofErr w:type="gramEnd"/>
      <w:r w:rsidRPr="00F516EB">
        <w:rPr>
          <w:sz w:val="24"/>
        </w:rPr>
        <w:t xml:space="preserve"> ВЛ.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lastRenderedPageBreak/>
        <w:t>Практика показала, что величиной «</w:t>
      </w:r>
      <w:r>
        <w:rPr>
          <w:sz w:val="24"/>
        </w:rPr>
        <w:sym w:font="Symbol" w:char="F06D"/>
      </w:r>
      <w:r>
        <w:rPr>
          <w:sz w:val="24"/>
          <w:vertAlign w:val="subscript"/>
          <w:lang w:val="en-US"/>
        </w:rPr>
        <w:t>L</w:t>
      </w:r>
      <w:r>
        <w:rPr>
          <w:sz w:val="24"/>
        </w:rPr>
        <w:t xml:space="preserve">» на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35-750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можно пренебречь. Составлены таблицы средней </w:t>
      </w:r>
      <w:proofErr w:type="spellStart"/>
      <w:r>
        <w:rPr>
          <w:sz w:val="24"/>
        </w:rPr>
        <w:t>переодичности</w:t>
      </w:r>
      <w:proofErr w:type="spellEnd"/>
      <w:r>
        <w:rPr>
          <w:sz w:val="24"/>
        </w:rPr>
        <w:t xml:space="preserve"> (</w:t>
      </w:r>
      <w:r>
        <w:rPr>
          <w:sz w:val="24"/>
        </w:rPr>
        <w:sym w:font="Symbol" w:char="F06D"/>
      </w:r>
      <w:r>
        <w:rPr>
          <w:sz w:val="24"/>
        </w:rPr>
        <w:t>) и продолжительности (</w:t>
      </w:r>
      <w:proofErr w:type="spellStart"/>
      <w:proofErr w:type="gramStart"/>
      <w:r>
        <w:rPr>
          <w:sz w:val="24"/>
        </w:rPr>
        <w:t>Тр</w:t>
      </w:r>
      <w:proofErr w:type="spellEnd"/>
      <w:proofErr w:type="gramEnd"/>
      <w:r>
        <w:rPr>
          <w:sz w:val="24"/>
        </w:rPr>
        <w:t xml:space="preserve"> – время ремонта) преднамеренных отключений, которые являются функцией от материала опор, типа опор, видов преднамеренных отключений. (Таблица 4.6, 4.7).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pStyle w:val="9"/>
      </w:pPr>
      <w:r>
        <w:t>Таблица 4.6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1)</w:t>
      </w:r>
    </w:p>
    <w:tbl>
      <w:tblPr>
        <w:tblW w:w="0" w:type="auto"/>
        <w:tblInd w:w="1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8"/>
        <w:gridCol w:w="1467"/>
        <w:gridCol w:w="1468"/>
        <w:gridCol w:w="1467"/>
        <w:gridCol w:w="1468"/>
        <w:gridCol w:w="1468"/>
      </w:tblGrid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88"/>
        </w:trPr>
        <w:tc>
          <w:tcPr>
            <w:tcW w:w="162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U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88"/>
        </w:trPr>
        <w:tc>
          <w:tcPr>
            <w:tcW w:w="162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1,25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2,3</w:t>
            </w:r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2,31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2,43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1,48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88"/>
        </w:trPr>
        <w:tc>
          <w:tcPr>
            <w:tcW w:w="162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U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89"/>
        </w:trPr>
        <w:tc>
          <w:tcPr>
            <w:tcW w:w="162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Тр</w:t>
            </w:r>
            <w:proofErr w:type="spellEnd"/>
            <w:proofErr w:type="gramEnd"/>
            <w:r>
              <w:rPr>
                <w:sz w:val="24"/>
              </w:rPr>
              <w:t>, ч</w:t>
            </w:r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17,9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14,3</w:t>
            </w:r>
          </w:p>
        </w:tc>
        <w:tc>
          <w:tcPr>
            <w:tcW w:w="146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16,8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17,6</w:t>
            </w:r>
          </w:p>
        </w:tc>
        <w:tc>
          <w:tcPr>
            <w:tcW w:w="1468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19,0</w:t>
            </w:r>
          </w:p>
        </w:tc>
      </w:tr>
    </w:tbl>
    <w:p w:rsidR="00387B71" w:rsidRDefault="00387B71" w:rsidP="00387B71">
      <w:pPr>
        <w:pStyle w:val="9"/>
      </w:pPr>
    </w:p>
    <w:p w:rsidR="00387B71" w:rsidRDefault="00387B71" w:rsidP="00387B71">
      <w:pPr>
        <w:pStyle w:val="9"/>
      </w:pPr>
      <w:r>
        <w:t>Таблица 4.6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2)</w:t>
      </w:r>
    </w:p>
    <w:tbl>
      <w:tblPr>
        <w:tblW w:w="0" w:type="auto"/>
        <w:tblInd w:w="1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9"/>
        <w:gridCol w:w="1640"/>
        <w:gridCol w:w="1641"/>
        <w:gridCol w:w="1186"/>
        <w:gridCol w:w="1187"/>
        <w:gridCol w:w="19"/>
        <w:gridCol w:w="1167"/>
        <w:gridCol w:w="1187"/>
      </w:tblGrid>
      <w:tr w:rsidR="00387B71" w:rsidTr="00C12106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U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кВ</w:t>
            </w:r>
            <w:proofErr w:type="spellEnd"/>
          </w:p>
        </w:tc>
        <w:tc>
          <w:tcPr>
            <w:tcW w:w="3281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Для ремонта смежного оборудования</w:t>
            </w:r>
          </w:p>
        </w:tc>
        <w:tc>
          <w:tcPr>
            <w:tcW w:w="2392" w:type="dxa"/>
            <w:gridSpan w:val="3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Для реконструкции</w:t>
            </w:r>
          </w:p>
        </w:tc>
        <w:tc>
          <w:tcPr>
            <w:tcW w:w="2354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По заявкам организаций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</w:p>
        </w:tc>
        <w:tc>
          <w:tcPr>
            <w:tcW w:w="1640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</w:p>
        </w:tc>
        <w:tc>
          <w:tcPr>
            <w:tcW w:w="164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Тср</w:t>
            </w:r>
            <w:proofErr w:type="spellEnd"/>
            <w:r>
              <w:rPr>
                <w:sz w:val="24"/>
              </w:rPr>
              <w:t>, ч</w:t>
            </w:r>
          </w:p>
        </w:tc>
        <w:tc>
          <w:tcPr>
            <w:tcW w:w="1186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Тср</w:t>
            </w:r>
            <w:proofErr w:type="spellEnd"/>
            <w:r>
              <w:rPr>
                <w:sz w:val="24"/>
              </w:rPr>
              <w:t>, ч</w:t>
            </w:r>
          </w:p>
        </w:tc>
        <w:tc>
          <w:tcPr>
            <w:tcW w:w="1186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sym w:font="Symbol" w:char="F06D"/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Тср</w:t>
            </w:r>
            <w:proofErr w:type="spellEnd"/>
            <w:r>
              <w:rPr>
                <w:sz w:val="24"/>
              </w:rPr>
              <w:t>, ч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1640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64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186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17,7</w:t>
            </w:r>
          </w:p>
        </w:tc>
        <w:tc>
          <w:tcPr>
            <w:tcW w:w="1186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1640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1,1</w:t>
            </w:r>
          </w:p>
        </w:tc>
        <w:tc>
          <w:tcPr>
            <w:tcW w:w="164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11,1</w:t>
            </w:r>
          </w:p>
        </w:tc>
        <w:tc>
          <w:tcPr>
            <w:tcW w:w="1186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23,6</w:t>
            </w:r>
          </w:p>
        </w:tc>
        <w:tc>
          <w:tcPr>
            <w:tcW w:w="1186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18,4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1640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64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86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15,5</w:t>
            </w:r>
          </w:p>
        </w:tc>
        <w:tc>
          <w:tcPr>
            <w:tcW w:w="1186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14,5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640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64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17,7</w:t>
            </w:r>
          </w:p>
        </w:tc>
        <w:tc>
          <w:tcPr>
            <w:tcW w:w="1186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27,5</w:t>
            </w:r>
          </w:p>
        </w:tc>
        <w:tc>
          <w:tcPr>
            <w:tcW w:w="1186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29,5</w:t>
            </w:r>
          </w:p>
        </w:tc>
      </w:tr>
      <w:tr w:rsidR="00387B71" w:rsidTr="00C12106">
        <w:tblPrEx>
          <w:tblCellMar>
            <w:top w:w="0" w:type="dxa"/>
            <w:bottom w:w="0" w:type="dxa"/>
          </w:tblCellMar>
        </w:tblPrEx>
        <w:trPr>
          <w:trHeight w:val="351"/>
        </w:trPr>
        <w:tc>
          <w:tcPr>
            <w:tcW w:w="989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640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641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21,6</w:t>
            </w:r>
          </w:p>
        </w:tc>
        <w:tc>
          <w:tcPr>
            <w:tcW w:w="1186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186" w:type="dxa"/>
            <w:gridSpan w:val="2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187" w:type="dxa"/>
          </w:tcPr>
          <w:p w:rsidR="00387B71" w:rsidRDefault="00387B71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11,3</w:t>
            </w:r>
          </w:p>
        </w:tc>
      </w:tr>
    </w:tbl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 xml:space="preserve">Использование характеристик ремонтопригодности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 расчётах надёжности электрических сетей требует сведений о «М» (математическом ожидании) и «</w:t>
      </w:r>
      <w:r>
        <w:rPr>
          <w:sz w:val="24"/>
        </w:rPr>
        <w:sym w:font="Symbol" w:char="F073"/>
      </w:r>
      <w:r>
        <w:rPr>
          <w:sz w:val="24"/>
        </w:rPr>
        <w:t xml:space="preserve">» (среднеквадратичном отклонении), а также о законах их распределения. Практика показала, что рационально здесь использовать закон </w:t>
      </w:r>
      <w:proofErr w:type="spellStart"/>
      <w:r>
        <w:rPr>
          <w:sz w:val="24"/>
        </w:rPr>
        <w:t>Вейбула</w:t>
      </w:r>
      <w:proofErr w:type="spellEnd"/>
      <w:r>
        <w:rPr>
          <w:sz w:val="24"/>
        </w:rPr>
        <w:t>-Гнеденко: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left="1309" w:firstLine="851"/>
        <w:jc w:val="both"/>
        <w:rPr>
          <w:sz w:val="24"/>
        </w:rPr>
      </w:pPr>
      <w:r>
        <w:rPr>
          <w:position w:val="-60"/>
          <w:sz w:val="24"/>
        </w:rPr>
        <w:object w:dxaOrig="1480" w:dyaOrig="1320">
          <v:shape id="_x0000_i1039" type="#_x0000_t75" style="width:102.75pt;height:91.5pt" o:ole="" fillcolor="window">
            <v:imagedata r:id="rId30" o:title=""/>
          </v:shape>
          <o:OLEObject Type="Embed" ProgID="Equation.3" ShapeID="_x0000_i1039" DrawAspect="Content" ObjectID="_1577011261" r:id="rId3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(4.94)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426"/>
        <w:jc w:val="both"/>
        <w:rPr>
          <w:sz w:val="24"/>
        </w:rPr>
      </w:pPr>
      <w:r>
        <w:rPr>
          <w:sz w:val="24"/>
        </w:rPr>
        <w:t>где</w:t>
      </w:r>
    </w:p>
    <w:p w:rsidR="00387B71" w:rsidRPr="00F516EB" w:rsidRDefault="00387B71" w:rsidP="00387B71">
      <w:pPr>
        <w:ind w:firstLine="851"/>
        <w:jc w:val="both"/>
        <w:rPr>
          <w:sz w:val="24"/>
        </w:rPr>
      </w:pPr>
      <w:r>
        <w:rPr>
          <w:sz w:val="24"/>
          <w:lang w:val="en-US"/>
        </w:rPr>
        <w:t>m</w:t>
      </w:r>
      <w:r w:rsidRPr="00F516EB">
        <w:rPr>
          <w:sz w:val="24"/>
        </w:rPr>
        <w:t xml:space="preserve"> – </w:t>
      </w:r>
      <w:proofErr w:type="gramStart"/>
      <w:r w:rsidRPr="00F516EB">
        <w:rPr>
          <w:sz w:val="24"/>
        </w:rPr>
        <w:t>число</w:t>
      </w:r>
      <w:proofErr w:type="gramEnd"/>
      <w:r w:rsidRPr="00F516EB">
        <w:rPr>
          <w:sz w:val="24"/>
        </w:rPr>
        <w:t xml:space="preserve"> ПЭС по которым собрана информация;</w:t>
      </w:r>
    </w:p>
    <w:p w:rsidR="00387B71" w:rsidRPr="00F516EB" w:rsidRDefault="00387B71" w:rsidP="00387B71">
      <w:pPr>
        <w:ind w:firstLine="851"/>
        <w:jc w:val="both"/>
        <w:rPr>
          <w:sz w:val="24"/>
        </w:rPr>
      </w:pPr>
      <w:r>
        <w:rPr>
          <w:sz w:val="24"/>
          <w:lang w:val="en-US"/>
        </w:rPr>
        <w:t>N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 xml:space="preserve"> – число преднамеренных отключений ВЛ в ПЭС;</w:t>
      </w: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>Г</w:t>
      </w:r>
      <w:r>
        <w:rPr>
          <w:sz w:val="24"/>
          <w:vertAlign w:val="subscript"/>
          <w:lang w:val="en-US"/>
        </w:rPr>
        <w:t>i</w:t>
      </w:r>
      <w:r w:rsidRPr="00F516EB">
        <w:rPr>
          <w:sz w:val="24"/>
        </w:rPr>
        <w:t xml:space="preserve"> – число лет, по которым есть информация по </w:t>
      </w:r>
      <w:proofErr w:type="gramStart"/>
      <w:r w:rsidRPr="00F516EB">
        <w:rPr>
          <w:sz w:val="24"/>
        </w:rPr>
        <w:t>данному</w:t>
      </w:r>
      <w:proofErr w:type="gramEnd"/>
      <w:r w:rsidRPr="00F516EB">
        <w:rPr>
          <w:sz w:val="24"/>
        </w:rPr>
        <w:t xml:space="preserve"> ПЭС.</w:t>
      </w:r>
    </w:p>
    <w:p w:rsidR="00387B71" w:rsidRDefault="00387B71" w:rsidP="00387B71">
      <w:pPr>
        <w:ind w:firstLine="851"/>
        <w:jc w:val="both"/>
        <w:rPr>
          <w:sz w:val="24"/>
        </w:rPr>
      </w:pPr>
    </w:p>
    <w:p w:rsidR="00387B71" w:rsidRDefault="00387B71" w:rsidP="00387B71">
      <w:pPr>
        <w:ind w:firstLine="851"/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position w:val="-62"/>
          <w:sz w:val="24"/>
        </w:rPr>
        <w:object w:dxaOrig="2220" w:dyaOrig="1400">
          <v:shape id="_x0000_i1040" type="#_x0000_t75" style="width:144.75pt;height:90.75pt" o:ole="" fillcolor="window">
            <v:imagedata r:id="rId32" o:title=""/>
          </v:shape>
          <o:OLEObject Type="Embed" ProgID="Equation.3" ShapeID="_x0000_i1040" DrawAspect="Content" ObjectID="_1577011262" r:id="rId33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(4.95)</w:t>
      </w:r>
    </w:p>
    <w:p w:rsidR="00246E77" w:rsidRDefault="00387B71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0392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320C3641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4C8B2F8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6A784BA5"/>
    <w:multiLevelType w:val="singleLevel"/>
    <w:tmpl w:val="8952714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4">
    <w:nsid w:val="774562A5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B71"/>
    <w:rsid w:val="001A14EE"/>
    <w:rsid w:val="003663B7"/>
    <w:rsid w:val="00387B71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87B71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387B71"/>
    <w:pPr>
      <w:keepNext/>
      <w:outlineLvl w:val="1"/>
    </w:pPr>
    <w:rPr>
      <w:sz w:val="28"/>
    </w:rPr>
  </w:style>
  <w:style w:type="paragraph" w:styleId="9">
    <w:name w:val="heading 9"/>
    <w:basedOn w:val="a"/>
    <w:next w:val="a"/>
    <w:link w:val="90"/>
    <w:qFormat/>
    <w:rsid w:val="00387B71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7B7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87B7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87B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387B71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387B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387B71"/>
    <w:pPr>
      <w:tabs>
        <w:tab w:val="left" w:pos="0"/>
      </w:tabs>
      <w:ind w:left="720" w:firstLine="567"/>
      <w:jc w:val="center"/>
    </w:pPr>
    <w:rPr>
      <w:b/>
      <w:sz w:val="24"/>
    </w:rPr>
  </w:style>
  <w:style w:type="character" w:customStyle="1" w:styleId="30">
    <w:name w:val="Основной текст с отступом 3 Знак"/>
    <w:basedOn w:val="a0"/>
    <w:link w:val="3"/>
    <w:rsid w:val="00387B71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87B71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387B71"/>
    <w:pPr>
      <w:keepNext/>
      <w:outlineLvl w:val="1"/>
    </w:pPr>
    <w:rPr>
      <w:sz w:val="28"/>
    </w:rPr>
  </w:style>
  <w:style w:type="paragraph" w:styleId="9">
    <w:name w:val="heading 9"/>
    <w:basedOn w:val="a"/>
    <w:next w:val="a"/>
    <w:link w:val="90"/>
    <w:qFormat/>
    <w:rsid w:val="00387B71"/>
    <w:pPr>
      <w:keepNext/>
      <w:ind w:firstLine="851"/>
      <w:jc w:val="right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7B7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87B7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87B7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387B71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387B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387B71"/>
    <w:pPr>
      <w:tabs>
        <w:tab w:val="left" w:pos="0"/>
      </w:tabs>
      <w:ind w:left="720" w:firstLine="567"/>
      <w:jc w:val="center"/>
    </w:pPr>
    <w:rPr>
      <w:b/>
      <w:sz w:val="24"/>
    </w:rPr>
  </w:style>
  <w:style w:type="character" w:customStyle="1" w:styleId="30">
    <w:name w:val="Основной текст с отступом 3 Знак"/>
    <w:basedOn w:val="a0"/>
    <w:link w:val="3"/>
    <w:rsid w:val="00387B71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10.bin"/><Relationship Id="rId34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0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5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13.bin"/><Relationship Id="rId30" Type="http://schemas.openxmlformats.org/officeDocument/2006/relationships/image" Target="media/image11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1353</Words>
  <Characters>7713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2018-01-09T07:49:00Z</dcterms:created>
  <dcterms:modified xsi:type="dcterms:W3CDTF">2018-01-09T07:49:00Z</dcterms:modified>
</cp:coreProperties>
</file>